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501C7F" w:rsidRPr="00501C7F" w:rsidTr="00501C7F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F" w:rsidRPr="00501C7F" w:rsidRDefault="00501C7F" w:rsidP="00501C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501C7F" w:rsidRPr="00202C10" w:rsidRDefault="00501C7F" w:rsidP="00CC6A90">
            <w:pPr>
              <w:spacing w:after="20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02C10">
              <w:rPr>
                <w:rFonts w:cs="B Lotus" w:hint="cs"/>
                <w:b/>
                <w:bCs/>
                <w:sz w:val="28"/>
                <w:szCs w:val="28"/>
                <w:rtl/>
              </w:rPr>
              <w:t>فلسفه اخلاق</w:t>
            </w: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01C7F" w:rsidRPr="00501C7F" w:rsidRDefault="00501C7F" w:rsidP="00501C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501C7F" w:rsidRPr="00501C7F" w:rsidRDefault="00501C7F" w:rsidP="00501C7F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501C7F" w:rsidRPr="00202C10" w:rsidRDefault="00CC6A90" w:rsidP="00501C7F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 xml:space="preserve"> </w:t>
            </w:r>
            <w:r w:rsidRPr="00202C10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Ethics</w:t>
            </w:r>
          </w:p>
          <w:p w:rsidR="00501C7F" w:rsidRPr="00501C7F" w:rsidRDefault="00501C7F" w:rsidP="00501C7F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501C7F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F" w:rsidRPr="00501C7F" w:rsidRDefault="00501C7F" w:rsidP="00501C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501C7F" w:rsidRPr="00501C7F" w:rsidRDefault="00501C7F" w:rsidP="00501C7F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C7F" w:rsidRPr="00501C7F" w:rsidRDefault="00501C7F" w:rsidP="00202C10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202C10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01C7F" w:rsidRPr="00501C7F" w:rsidTr="00501C7F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501C7F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501C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01C7F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202C1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501C7F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501C7F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501C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01C7F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501C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01C7F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501C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01C7F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501C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501C7F" w:rsidRPr="00501C7F" w:rsidRDefault="00501C7F" w:rsidP="00501C7F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501C7F" w:rsidRPr="00501C7F" w:rsidRDefault="00501C7F" w:rsidP="00501C7F">
      <w:pPr>
        <w:jc w:val="both"/>
        <w:rPr>
          <w:rFonts w:ascii="Calibri" w:eastAsia="Calibri" w:hAnsi="Calibri" w:cs="B Mitra"/>
          <w:b/>
          <w:bCs/>
          <w:sz w:val="32"/>
          <w:szCs w:val="32"/>
          <w:rtl/>
        </w:rPr>
      </w:pPr>
      <w:r w:rsidRPr="00501C7F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501C7F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202C10">
        <w:rPr>
          <w:rFonts w:ascii="Calibri" w:eastAsia="Calibri" w:hAnsi="Calibri" w:cs="B Lotus" w:hint="cs"/>
          <w:sz w:val="28"/>
          <w:szCs w:val="28"/>
          <w:rtl/>
        </w:rPr>
        <w:t>تبيين و بررسي اجمالي مهمترين مباحث مطرح در فلسفه اخلاق</w:t>
      </w:r>
    </w:p>
    <w:p w:rsidR="00202C10" w:rsidRDefault="00202C10" w:rsidP="00501C7F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32"/>
          <w:szCs w:val="32"/>
          <w:rtl/>
        </w:rPr>
      </w:pPr>
    </w:p>
    <w:p w:rsidR="00501C7F" w:rsidRDefault="00501C7F" w:rsidP="00501C7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501C7F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کليات: (مفهوم، اهميت و تاريخچة فلسفه اخلاق)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مفهوم‌شناسي اخلاق، علم اخلاق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تعريف و قلمرو فلسفه اخلاق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مسايل فلسفه اخلاق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اهميت و ضرورت فلسفه اخلاق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پيشينة فلسفه اخلاق (در غرب و جهان اسلام)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واقع‌گرايي اخلاقي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واقع‌گرايي در مفاهيم اخلاقي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ديدگاه‌ها دربارة مفاهيم اخلاقي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واقع‌گرايي در گزاره‌هاي اخلاقي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jc w:val="both"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پيامدها و لوازم واقع‌گرايي و غيرواقع‌گرايي در اخلاق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معيار و ارزش اخلاقي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تقسيم نظريه‌ها (نتيجه‌گرا ، وظيفه ‌گرا و فضيلت‌گرا)</w:t>
      </w:r>
    </w:p>
    <w:p w:rsidR="00501C7F" w:rsidRPr="00202C10" w:rsidRDefault="00501C7F" w:rsidP="00202C10">
      <w:pPr>
        <w:numPr>
          <w:ilvl w:val="0"/>
          <w:numId w:val="22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نظريه‌هاي نتيجه‌گرا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lastRenderedPageBreak/>
        <w:t>نظريه‌هاي وظيفه‌گرا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نظريه‌هاي فضيلت‌گرا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نظرية مختار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اطلاق و نسبيت در اخلاق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معناي اخلاق و نسبيت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انواع نسبيت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نظريه‌هاي نسبيت‌گرا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نقد نظريه‌هاي نسبيت‌گرا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نظرية مختار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مسئوليت اخلاقي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اهميت بحث مسئوليت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معناي مسئوليت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شرايط مسئوليت اخلاقي</w:t>
      </w:r>
    </w:p>
    <w:p w:rsidR="00501C7F" w:rsidRPr="00202C10" w:rsidRDefault="00501C7F" w:rsidP="00202C10">
      <w:pPr>
        <w:numPr>
          <w:ilvl w:val="0"/>
          <w:numId w:val="21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قلمرو مسئوليت اخلاقي</w:t>
      </w:r>
    </w:p>
    <w:p w:rsidR="00501C7F" w:rsidRPr="00202C10" w:rsidRDefault="00501C7F" w:rsidP="00202C10">
      <w:pPr>
        <w:numPr>
          <w:ilvl w:val="0"/>
          <w:numId w:val="13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 xml:space="preserve">دين و اخلاق </w:t>
      </w:r>
    </w:p>
    <w:p w:rsidR="00501C7F" w:rsidRPr="00202C10" w:rsidRDefault="00501C7F" w:rsidP="00202C10">
      <w:pPr>
        <w:numPr>
          <w:ilvl w:val="0"/>
          <w:numId w:val="23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 xml:space="preserve">تعريف دين و اخلاق </w:t>
      </w:r>
    </w:p>
    <w:p w:rsidR="00501C7F" w:rsidRPr="00202C10" w:rsidRDefault="00501C7F" w:rsidP="00202C10">
      <w:pPr>
        <w:numPr>
          <w:ilvl w:val="0"/>
          <w:numId w:val="23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ديدگاه تباين و نقد آن</w:t>
      </w:r>
    </w:p>
    <w:p w:rsidR="00501C7F" w:rsidRPr="00202C10" w:rsidRDefault="00501C7F" w:rsidP="00202C10">
      <w:pPr>
        <w:numPr>
          <w:ilvl w:val="0"/>
          <w:numId w:val="23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ديدگاه اتحاد و نقد آن</w:t>
      </w:r>
    </w:p>
    <w:p w:rsidR="00501C7F" w:rsidRPr="00202C10" w:rsidRDefault="00501C7F" w:rsidP="00202C10">
      <w:pPr>
        <w:numPr>
          <w:ilvl w:val="0"/>
          <w:numId w:val="23"/>
        </w:numPr>
        <w:spacing w:after="200" w:line="204" w:lineRule="auto"/>
        <w:ind w:left="1366" w:hanging="357"/>
        <w:rPr>
          <w:rFonts w:ascii="Calibri" w:eastAsia="Calibri" w:hAnsi="Calibri" w:cs="B Lotus"/>
          <w:sz w:val="28"/>
          <w:szCs w:val="28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ديدگاه تعامل</w:t>
      </w:r>
    </w:p>
    <w:p w:rsidR="00501C7F" w:rsidRPr="00202C10" w:rsidRDefault="00501C7F" w:rsidP="00202C10">
      <w:pPr>
        <w:pStyle w:val="ListParagraph"/>
        <w:numPr>
          <w:ilvl w:val="0"/>
          <w:numId w:val="23"/>
        </w:numPr>
        <w:spacing w:after="200" w:line="204" w:lineRule="auto"/>
        <w:ind w:left="1366" w:hanging="357"/>
        <w:jc w:val="lowKashida"/>
        <w:rPr>
          <w:rFonts w:ascii="Calibri" w:eastAsia="Calibri" w:hAnsi="Calibri" w:cs="B Lotus"/>
          <w:sz w:val="36"/>
          <w:szCs w:val="36"/>
          <w:rtl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وابستگي‌هاي دين به اخلاق و برعکس</w:t>
      </w:r>
    </w:p>
    <w:p w:rsidR="00501C7F" w:rsidRPr="00202C10" w:rsidRDefault="00501C7F" w:rsidP="00202C10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36"/>
          <w:szCs w:val="36"/>
          <w:rtl/>
        </w:rPr>
      </w:pPr>
    </w:p>
    <w:p w:rsidR="00501C7F" w:rsidRDefault="00501C7F" w:rsidP="00501C7F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noProof/>
          <w:sz w:val="36"/>
          <w:szCs w:val="36"/>
          <w:rtl/>
        </w:rPr>
      </w:pPr>
    </w:p>
    <w:p w:rsidR="00202C10" w:rsidRPr="00501C7F" w:rsidRDefault="00202C10" w:rsidP="00501C7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501C7F" w:rsidRPr="00501C7F" w:rsidRDefault="00501C7F" w:rsidP="00501C7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501C7F">
        <w:rPr>
          <w:rFonts w:ascii="Calibri" w:eastAsia="Calibri" w:hAnsi="Calibri" w:cs="B Titr" w:hint="cs"/>
          <w:sz w:val="24"/>
          <w:szCs w:val="24"/>
          <w:rtl/>
        </w:rPr>
        <w:lastRenderedPageBreak/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501C7F" w:rsidRPr="00501C7F" w:rsidTr="00501C7F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501C7F" w:rsidRPr="00501C7F" w:rsidTr="00202C10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501C7F" w:rsidRPr="00501C7F" w:rsidTr="00501C7F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01C7F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F" w:rsidRPr="00501C7F" w:rsidRDefault="00501C7F" w:rsidP="00501C7F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202C10" w:rsidRDefault="00202C10" w:rsidP="00501C7F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501C7F" w:rsidRDefault="00501C7F" w:rsidP="00501C7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501C7F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فلسفه اخلاق ، استاد مصباح يزدي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مکاتب اخلاقي ، استاد مصباح يزدي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تاريخ فلسفه اخلاق ، مک اينتاير، ترجمة گروه مترجمان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از مسئله‌محوري تا فضيلت‌محوري ، ادموند پينکافس ، ترجمة مهدي علي‌پور و سيد حميد حسني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بصيرت اخلاقي ديويد مک ناوتن ، محمود فتحعلي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درآمدي بر فلسفه اخلاق ، آر. ف اتکينسون ، ترجمة سهراب علوي نيا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فلسفه اخلاق پل ادواردز ، انشاءالله رحمتي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فلسفه اخلاق در قرن بيستم ، مري وارنوک، ترجمة ابوالقاسم فنايي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مبادي اخلاق در قرآن ، آيت الله جوادي آملي</w:t>
      </w:r>
    </w:p>
    <w:p w:rsidR="00501C7F" w:rsidRPr="00202C10" w:rsidRDefault="00501C7F" w:rsidP="00202C10">
      <w:pPr>
        <w:numPr>
          <w:ilvl w:val="0"/>
          <w:numId w:val="24"/>
        </w:numPr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 w:hint="cs"/>
          <w:sz w:val="28"/>
          <w:szCs w:val="28"/>
          <w:rtl/>
        </w:rPr>
        <w:t>فلسفه اخلاق ، گروه مؤلفان ، نشر معارف</w:t>
      </w:r>
    </w:p>
    <w:p w:rsidR="00501C7F" w:rsidRPr="00202C10" w:rsidRDefault="00501C7F" w:rsidP="00202C10">
      <w:pPr>
        <w:numPr>
          <w:ilvl w:val="0"/>
          <w:numId w:val="24"/>
        </w:numPr>
        <w:bidi w:val="0"/>
        <w:spacing w:after="200" w:line="204" w:lineRule="auto"/>
        <w:contextualSpacing/>
        <w:rPr>
          <w:rFonts w:ascii="Calibri" w:eastAsia="Calibri" w:hAnsi="Calibri" w:cs="B Lotus"/>
          <w:sz w:val="28"/>
          <w:szCs w:val="28"/>
        </w:rPr>
      </w:pPr>
      <w:r w:rsidRPr="00202C10">
        <w:rPr>
          <w:rFonts w:ascii="Calibri" w:eastAsia="Calibri" w:hAnsi="Calibri" w:cs="B Lotus"/>
          <w:sz w:val="28"/>
          <w:szCs w:val="28"/>
        </w:rPr>
        <w:t>Beeker Lawrenc , The Encyclopedia of Ethics</w:t>
      </w:r>
      <w:bookmarkEnd w:id="0"/>
    </w:p>
    <w:sectPr w:rsidR="00501C7F" w:rsidRPr="00202C10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E3" w:rsidRDefault="00A61CE3" w:rsidP="00202C10">
      <w:r>
        <w:separator/>
      </w:r>
    </w:p>
  </w:endnote>
  <w:endnote w:type="continuationSeparator" w:id="0">
    <w:p w:rsidR="00A61CE3" w:rsidRDefault="00A61CE3" w:rsidP="0020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E3" w:rsidRDefault="00A61CE3" w:rsidP="00202C10">
      <w:r>
        <w:separator/>
      </w:r>
    </w:p>
  </w:footnote>
  <w:footnote w:type="continuationSeparator" w:id="0">
    <w:p w:rsidR="00A61CE3" w:rsidRDefault="00A61CE3" w:rsidP="0020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A86"/>
    <w:multiLevelType w:val="hybridMultilevel"/>
    <w:tmpl w:val="62B4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C03"/>
    <w:multiLevelType w:val="hybridMultilevel"/>
    <w:tmpl w:val="972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4F87"/>
    <w:multiLevelType w:val="hybridMultilevel"/>
    <w:tmpl w:val="C6E2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6654"/>
    <w:multiLevelType w:val="hybridMultilevel"/>
    <w:tmpl w:val="BDCCC61E"/>
    <w:lvl w:ilvl="0" w:tplc="AC303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4C83"/>
    <w:multiLevelType w:val="hybridMultilevel"/>
    <w:tmpl w:val="28E42512"/>
    <w:lvl w:ilvl="0" w:tplc="AC303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1000"/>
    <w:multiLevelType w:val="hybridMultilevel"/>
    <w:tmpl w:val="F65A990C"/>
    <w:lvl w:ilvl="0" w:tplc="AC303E88">
      <w:start w:val="1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39AD"/>
    <w:multiLevelType w:val="hybridMultilevel"/>
    <w:tmpl w:val="B0B8036A"/>
    <w:lvl w:ilvl="0" w:tplc="AC303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5455"/>
    <w:multiLevelType w:val="hybridMultilevel"/>
    <w:tmpl w:val="346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A6589"/>
    <w:multiLevelType w:val="hybridMultilevel"/>
    <w:tmpl w:val="E8A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6D2E"/>
    <w:multiLevelType w:val="hybridMultilevel"/>
    <w:tmpl w:val="8B8293C2"/>
    <w:lvl w:ilvl="0" w:tplc="AC303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D065C"/>
    <w:multiLevelType w:val="hybridMultilevel"/>
    <w:tmpl w:val="66240802"/>
    <w:lvl w:ilvl="0" w:tplc="AC303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C6BD3"/>
    <w:multiLevelType w:val="hybridMultilevel"/>
    <w:tmpl w:val="8BAA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7F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2C10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1C7F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13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1CE3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6A90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501C7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C6A90"/>
  </w:style>
  <w:style w:type="paragraph" w:styleId="Header">
    <w:name w:val="header"/>
    <w:basedOn w:val="Normal"/>
    <w:link w:val="HeaderChar"/>
    <w:uiPriority w:val="99"/>
    <w:unhideWhenUsed/>
    <w:rsid w:val="00202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10"/>
  </w:style>
  <w:style w:type="paragraph" w:styleId="Footer">
    <w:name w:val="footer"/>
    <w:basedOn w:val="Normal"/>
    <w:link w:val="FooterChar"/>
    <w:uiPriority w:val="99"/>
    <w:unhideWhenUsed/>
    <w:rsid w:val="00202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501C7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C6A90"/>
  </w:style>
  <w:style w:type="paragraph" w:styleId="Header">
    <w:name w:val="header"/>
    <w:basedOn w:val="Normal"/>
    <w:link w:val="HeaderChar"/>
    <w:uiPriority w:val="99"/>
    <w:unhideWhenUsed/>
    <w:rsid w:val="00202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10"/>
  </w:style>
  <w:style w:type="paragraph" w:styleId="Footer">
    <w:name w:val="footer"/>
    <w:basedOn w:val="Normal"/>
    <w:link w:val="FooterChar"/>
    <w:uiPriority w:val="99"/>
    <w:unhideWhenUsed/>
    <w:rsid w:val="00202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4</cp:revision>
  <dcterms:created xsi:type="dcterms:W3CDTF">2013-04-27T06:19:00Z</dcterms:created>
  <dcterms:modified xsi:type="dcterms:W3CDTF">2013-06-02T07:49:00Z</dcterms:modified>
</cp:coreProperties>
</file>