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C5" w:rsidRPr="004910C5" w:rsidRDefault="004910C5" w:rsidP="004910C5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4910C5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4910C5" w:rsidRPr="004910C5" w:rsidRDefault="004910C5" w:rsidP="004910C5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4910C5" w:rsidRPr="004910C5" w:rsidTr="004910C5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4910C5" w:rsidRPr="0006307B" w:rsidRDefault="004910C5" w:rsidP="004910C5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06307B">
              <w:rPr>
                <w:rFonts w:ascii="Calibri" w:eastAsia="Calibri" w:hAnsi="Calibri" w:cs="B Titr" w:hint="cs"/>
                <w:sz w:val="24"/>
                <w:szCs w:val="24"/>
                <w:rtl/>
              </w:rPr>
              <w:t>بقاء و جاودانگی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4910C5" w:rsidRPr="0006307B" w:rsidRDefault="004910C5" w:rsidP="004910C5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06307B">
              <w:rPr>
                <w:rFonts w:ascii="Calibri" w:eastAsia="Calibri" w:hAnsi="Calibri" w:cs="B Titr" w:hint="cs"/>
                <w:sz w:val="24"/>
                <w:szCs w:val="24"/>
                <w:rtl/>
              </w:rPr>
              <w:t>2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4910C5" w:rsidRPr="0006307B" w:rsidRDefault="004910C5" w:rsidP="004910C5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06307B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910C5" w:rsidRDefault="004910C5" w:rsidP="004910C5">
            <w:pPr>
              <w:ind w:left="0" w:firstLine="0"/>
              <w:rPr>
                <w:rFonts w:cs="B Vahid"/>
                <w:sz w:val="18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  <w:r>
              <w:rPr>
                <w:rFonts w:cs="B Vahid" w:hint="cs"/>
                <w:sz w:val="18"/>
                <w:szCs w:val="24"/>
                <w:rtl/>
              </w:rPr>
              <w:t xml:space="preserve"> </w:t>
            </w:r>
          </w:p>
          <w:p w:rsidR="004910C5" w:rsidRPr="0006307B" w:rsidRDefault="004910C5" w:rsidP="004910C5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06307B">
              <w:rPr>
                <w:rFonts w:cs="B Titr" w:hint="cs"/>
                <w:sz w:val="18"/>
                <w:szCs w:val="24"/>
                <w:rtl/>
              </w:rPr>
              <w:t>انسان شناسی</w:t>
            </w:r>
            <w:r w:rsidRPr="0006307B">
              <w:rPr>
                <w:rFonts w:cs="B Titr" w:hint="cs"/>
                <w:b/>
                <w:bCs/>
                <w:sz w:val="18"/>
                <w:szCs w:val="24"/>
                <w:rtl/>
              </w:rPr>
              <w:t xml:space="preserve"> تطبیقی</w:t>
            </w:r>
          </w:p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910C5" w:rsidRDefault="004910C5" w:rsidP="004910C5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F22B70" w:rsidRDefault="00F22B70" w:rsidP="004910C5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F22B70" w:rsidRPr="004910C5" w:rsidRDefault="00F22B70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F22B70">
              <w:rPr>
                <w:rFonts w:ascii="Arial" w:eastAsia="Calibri" w:hAnsi="Arial" w:cs="Arial"/>
                <w:color w:val="333333"/>
                <w:lang w:val="en"/>
              </w:rPr>
              <w:t>Survival and Immortality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4910C5" w:rsidRPr="004910C5" w:rsidTr="004910C5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4910C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4910C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4910C5" w:rsidRPr="004910C5" w:rsidRDefault="004910C5" w:rsidP="004910C5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4910C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4910C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4910C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4910C5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4910C5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910C5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</w:p>
    <w:p w:rsidR="004910C5" w:rsidRPr="0006307B" w:rsidRDefault="004910C5" w:rsidP="004910C5">
      <w:pPr>
        <w:ind w:left="0" w:firstLine="0"/>
        <w:rPr>
          <w:rFonts w:ascii="Calibri" w:eastAsia="Calibri" w:hAnsi="Calibri" w:cs="B Titr"/>
          <w:sz w:val="20"/>
          <w:szCs w:val="20"/>
          <w:rtl/>
        </w:rPr>
      </w:pPr>
      <w:r w:rsidRPr="0006307B">
        <w:rPr>
          <w:rFonts w:cs="B Titr" w:hint="cs"/>
          <w:sz w:val="20"/>
          <w:szCs w:val="20"/>
          <w:rtl/>
        </w:rPr>
        <w:t>شناخت نگرش</w:t>
      </w:r>
      <w:r w:rsidRPr="0006307B">
        <w:rPr>
          <w:rFonts w:cs="B Titr" w:hint="eastAsia"/>
          <w:sz w:val="20"/>
          <w:szCs w:val="20"/>
          <w:rtl/>
        </w:rPr>
        <w:t>‌</w:t>
      </w:r>
      <w:r w:rsidRPr="0006307B">
        <w:rPr>
          <w:rFonts w:cs="B Titr" w:hint="cs"/>
          <w:sz w:val="20"/>
          <w:szCs w:val="20"/>
          <w:rtl/>
        </w:rPr>
        <w:t>های مختلف درباره چیستی مرگ و حیات پس از مرگ و جاودانگی، ادله آن و نیزشبهات و ادله منکران جاودانگی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910C5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</w:p>
    <w:p w:rsidR="004910C5" w:rsidRPr="004910C5" w:rsidRDefault="004910C5" w:rsidP="004910C5">
      <w:pPr>
        <w:numPr>
          <w:ilvl w:val="0"/>
          <w:numId w:val="11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چیستی مرگ</w:t>
      </w:r>
    </w:p>
    <w:p w:rsidR="004910C5" w:rsidRPr="004910C5" w:rsidRDefault="004910C5" w:rsidP="004910C5">
      <w:pPr>
        <w:numPr>
          <w:ilvl w:val="0"/>
          <w:numId w:val="11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 xml:space="preserve">اقسام مرگ از منظر اندیشمندان مسلمان </w:t>
      </w:r>
    </w:p>
    <w:p w:rsidR="004910C5" w:rsidRPr="004910C5" w:rsidRDefault="004910C5" w:rsidP="004910C5">
      <w:pPr>
        <w:numPr>
          <w:ilvl w:val="0"/>
          <w:numId w:val="9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مرگ طبیعی</w:t>
      </w:r>
    </w:p>
    <w:p w:rsidR="004910C5" w:rsidRPr="004910C5" w:rsidRDefault="004910C5" w:rsidP="004910C5">
      <w:pPr>
        <w:numPr>
          <w:ilvl w:val="0"/>
          <w:numId w:val="9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مرگ اخترامی</w:t>
      </w:r>
    </w:p>
    <w:p w:rsidR="004910C5" w:rsidRPr="004910C5" w:rsidRDefault="004910C5" w:rsidP="004910C5">
      <w:pPr>
        <w:numPr>
          <w:ilvl w:val="0"/>
          <w:numId w:val="9"/>
        </w:numPr>
        <w:tabs>
          <w:tab w:val="num" w:pos="360"/>
        </w:tabs>
        <w:rPr>
          <w:rFonts w:ascii="Calibri" w:eastAsia="Calibri" w:hAnsi="Calibri" w:cs="Arial"/>
          <w:sz w:val="26"/>
          <w:szCs w:val="26"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مرگ اردای</w:t>
      </w:r>
    </w:p>
    <w:p w:rsidR="004910C5" w:rsidRPr="004910C5" w:rsidRDefault="004910C5" w:rsidP="004910C5">
      <w:pPr>
        <w:numPr>
          <w:ilvl w:val="0"/>
          <w:numId w:val="9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...</w:t>
      </w:r>
    </w:p>
    <w:p w:rsidR="004910C5" w:rsidRPr="004910C5" w:rsidRDefault="004910C5" w:rsidP="004910C5">
      <w:pPr>
        <w:numPr>
          <w:ilvl w:val="0"/>
          <w:numId w:val="11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بررسی دیدگاه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های مختلف راجع به حیات پس از مرگ و جاودانگی</w:t>
      </w:r>
    </w:p>
    <w:p w:rsidR="004910C5" w:rsidRPr="004910C5" w:rsidRDefault="004910C5" w:rsidP="004910C5">
      <w:pPr>
        <w:numPr>
          <w:ilvl w:val="0"/>
          <w:numId w:val="9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دیدگاه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های انکاری (عمدتاً ماتریالیست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ها)</w:t>
      </w:r>
    </w:p>
    <w:p w:rsidR="004910C5" w:rsidRPr="004910C5" w:rsidRDefault="004910C5" w:rsidP="004910C5">
      <w:pPr>
        <w:numPr>
          <w:ilvl w:val="0"/>
          <w:numId w:val="9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دیدگاه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های اثباتی</w:t>
      </w:r>
    </w:p>
    <w:p w:rsidR="004910C5" w:rsidRPr="004910C5" w:rsidRDefault="004910C5" w:rsidP="004910C5">
      <w:pPr>
        <w:numPr>
          <w:ilvl w:val="0"/>
          <w:numId w:val="10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دیدگاه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های غیرواقع گرایانه</w:t>
      </w:r>
    </w:p>
    <w:p w:rsidR="004910C5" w:rsidRPr="004910C5" w:rsidRDefault="004910C5" w:rsidP="004910C5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جاودانگی از طریق اعقاب و ذراری (جاودانگی نوع)</w:t>
      </w:r>
    </w:p>
    <w:p w:rsidR="004910C5" w:rsidRPr="004910C5" w:rsidRDefault="004910C5" w:rsidP="004910C5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جاودانگی از طریق باقی ماندن در یادها و خاطره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</w:t>
      </w:r>
    </w:p>
    <w:p w:rsidR="004910C5" w:rsidRPr="004910C5" w:rsidRDefault="004910C5" w:rsidP="004910C5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تفسیر و تأویل آموزه حیات پس از مرگ به امور دنیایی‌ (همانند د‌‌‌.زد. فیلیپس و رودلف بولتمان)</w:t>
      </w:r>
    </w:p>
    <w:p w:rsidR="004910C5" w:rsidRPr="004910C5" w:rsidRDefault="004910C5" w:rsidP="004910C5">
      <w:pPr>
        <w:numPr>
          <w:ilvl w:val="0"/>
          <w:numId w:val="10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دیدگاه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های واقع گرایانه</w:t>
      </w:r>
    </w:p>
    <w:p w:rsidR="004910C5" w:rsidRPr="004910C5" w:rsidRDefault="004910C5" w:rsidP="004910C5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غیر شخصی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جاودانگی از طریق فانی شدن در خدا و بقاء یافتن به او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نیروانه بنا بر آیین مهایانه بودیسم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مکشه بنا بر آیین هندو</w:t>
      </w:r>
    </w:p>
    <w:p w:rsidR="004910C5" w:rsidRPr="004910C5" w:rsidRDefault="004910C5" w:rsidP="004910C5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شخصی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نظریه خلق مجدد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نظریه تناسخ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نظریه روح نامتجسد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نظریه بازگشت ارواح به بدن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نظریه بدن علوی</w:t>
      </w:r>
    </w:p>
    <w:p w:rsidR="004910C5" w:rsidRPr="004910C5" w:rsidRDefault="004910C5" w:rsidP="004910C5">
      <w:pPr>
        <w:numPr>
          <w:ilvl w:val="0"/>
          <w:numId w:val="11"/>
        </w:numPr>
        <w:tabs>
          <w:tab w:val="num" w:pos="360"/>
        </w:tabs>
        <w:rPr>
          <w:rFonts w:ascii="Calibri" w:eastAsia="Calibri" w:hAnsi="Calibri" w:cs="Arial"/>
          <w:sz w:val="26"/>
          <w:szCs w:val="26"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 xml:space="preserve">نقد و بررسی ادله منکران حیات پس از مرگ همانند: دیوید هیوم، برتراند راسل و آنتونی فلو 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(این بخش می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تواند ذیل دیدگاه</w:t>
      </w:r>
      <w:r w:rsidRPr="004910C5">
        <w:rPr>
          <w:rFonts w:ascii="Calibri" w:eastAsia="Calibri" w:hAnsi="Calibri" w:cs="Arial" w:hint="eastAsia"/>
          <w:sz w:val="26"/>
          <w:szCs w:val="26"/>
          <w:rtl/>
        </w:rPr>
        <w:t>‌</w:t>
      </w:r>
      <w:r w:rsidRPr="004910C5">
        <w:rPr>
          <w:rFonts w:ascii="Calibri" w:eastAsia="Calibri" w:hAnsi="Calibri" w:cs="Arial" w:hint="cs"/>
          <w:sz w:val="26"/>
          <w:szCs w:val="26"/>
          <w:rtl/>
        </w:rPr>
        <w:t>های انکاری نیز مطرح شود.)</w:t>
      </w:r>
    </w:p>
    <w:p w:rsidR="004910C5" w:rsidRPr="004910C5" w:rsidRDefault="004910C5" w:rsidP="004910C5">
      <w:pPr>
        <w:numPr>
          <w:ilvl w:val="0"/>
          <w:numId w:val="11"/>
        </w:numPr>
        <w:tabs>
          <w:tab w:val="num" w:pos="360"/>
        </w:tabs>
        <w:rPr>
          <w:rFonts w:ascii="Calibri" w:eastAsia="Calibri" w:hAnsi="Calibri" w:cs="Arial"/>
          <w:sz w:val="26"/>
          <w:szCs w:val="26"/>
          <w:rtl/>
        </w:rPr>
      </w:pPr>
      <w:r w:rsidRPr="004910C5">
        <w:rPr>
          <w:rFonts w:ascii="Calibri" w:eastAsia="Calibri" w:hAnsi="Calibri" w:cs="Arial" w:hint="cs"/>
          <w:sz w:val="26"/>
          <w:szCs w:val="26"/>
          <w:rtl/>
        </w:rPr>
        <w:t>بررسی ادله مثبتان جاودانگی همانند: افلاطون، آگوستین، توماس آکویناس، ابن سینا، سهروردی، ملاصدرا، و سایر اندیشمندان غربی و اسلامی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910C5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4910C5" w:rsidRPr="004910C5" w:rsidTr="004910C5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910C5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910C5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910C5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4910C5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4910C5" w:rsidRPr="004910C5" w:rsidTr="004910C5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0C5" w:rsidRPr="004910C5" w:rsidRDefault="004910C5" w:rsidP="004910C5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4910C5" w:rsidRDefault="004910C5" w:rsidP="004910C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4910C5">
        <w:rPr>
          <w:rFonts w:ascii="Calibri" w:eastAsia="Calibri" w:hAnsi="Calibri" w:cs="Arial"/>
          <w:b/>
          <w:bCs/>
          <w:sz w:val="26"/>
          <w:szCs w:val="26"/>
          <w:rtl/>
        </w:rPr>
        <w:t>منابع:</w:t>
      </w:r>
    </w:p>
    <w:p w:rsidR="004910C5" w:rsidRPr="004910C5" w:rsidRDefault="004910C5" w:rsidP="004910C5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4910C5" w:rsidRPr="004910C5" w:rsidRDefault="004910C5" w:rsidP="004910C5">
      <w:pPr>
        <w:ind w:left="0" w:firstLine="0"/>
        <w:rPr>
          <w:rFonts w:ascii="Calibri" w:eastAsia="Calibri" w:hAnsi="Calibri" w:cs="Mitra"/>
          <w:sz w:val="26"/>
          <w:szCs w:val="26"/>
          <w:rtl/>
        </w:rPr>
      </w:pP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معارف قرآن (خداشناسی، جهان‌شناسی، انسان‌شناسی)، محمدتقی مصباح يزدی.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انسان‌شناسی، محمود رجبی.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مبانی انسان شناسی در قرآن، عبدالله نصری.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انسان‌شناسی از ديدگاه اسلام، احمد واعظی.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فلسفه دين، جان هيک، ترجمه بهزاد سالکی.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عقل و اعتقاد ديني، مايکل پترسون و ديگران، ترجمه ابراهيم سلطانی و احمد نراقی.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اديان و مکتب‌های فلسفی هند، داريوش شايگان.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هفت نظريه درباره طبيعت انسان، لسلی استيونسون، ترجمه بهرام محسن‌پور.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انسان از ديدگاه ده متفکر، راجر تريگ، ترجمه رضا بخشايش.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شور جاودانگی، ديويد چايد ستر، ترجمه غلام‌حسين توکلی.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انسان از آغاز تا انجام، سيد محمدحسين طباطبايی، ترجمه و تعليقات از صادق لاريجانی.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حيات جاودانه (پژوهشی در معادشناسی)، امير ديوانی.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مرگ و جاودانگی (مجموعه مقالاتی از هيوم، راسل و ديگران)، ترجمه سيدمحسن رضازاده.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 xml:space="preserve">اديان آسيا، </w:t>
      </w:r>
      <w:r w:rsidRPr="0006307B">
        <w:rPr>
          <w:rFonts w:ascii="Calibri" w:eastAsia="Calibri" w:hAnsi="Calibri" w:cs="Lotus Mazar" w:hint="eastAsia"/>
          <w:szCs w:val="28"/>
          <w:rtl/>
        </w:rPr>
        <w:t>فريدهلم هاردي،</w:t>
      </w:r>
      <w:r w:rsidRPr="0006307B">
        <w:rPr>
          <w:rFonts w:ascii="Calibri" w:eastAsia="Calibri" w:hAnsi="Calibri" w:cs="Lotus Mazar"/>
          <w:szCs w:val="28"/>
          <w:rtl/>
        </w:rPr>
        <w:t xml:space="preserve"> </w:t>
      </w:r>
      <w:r w:rsidRPr="0006307B">
        <w:rPr>
          <w:rFonts w:ascii="Calibri" w:eastAsia="Calibri" w:hAnsi="Calibri" w:cs="Lotus Mazar" w:hint="cs"/>
          <w:szCs w:val="28"/>
          <w:rtl/>
        </w:rPr>
        <w:t>ترجمه عبدالرحيم گواهی.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spacing w:line="276" w:lineRule="auto"/>
        <w:rPr>
          <w:rFonts w:ascii="Calibri" w:eastAsia="Calibri" w:hAnsi="Calibri" w:cs="Lotus Mazar"/>
          <w:szCs w:val="28"/>
        </w:rPr>
      </w:pPr>
      <w:r w:rsidRPr="0006307B">
        <w:rPr>
          <w:rFonts w:ascii="Calibri" w:eastAsia="Calibri" w:hAnsi="Calibri" w:cs="Lotus Mazar" w:hint="cs"/>
          <w:szCs w:val="28"/>
          <w:rtl/>
        </w:rPr>
        <w:t>تاريخ جامع اديان، جان بی ناس، ترجمه علی اصغر حکمت.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28"/>
        </w:rPr>
      </w:pPr>
      <w:r w:rsidRPr="0006307B">
        <w:rPr>
          <w:rFonts w:asciiTheme="majorBidi" w:eastAsia="Calibri" w:hAnsiTheme="majorBidi" w:cstheme="majorBidi"/>
          <w:szCs w:val="28"/>
        </w:rPr>
        <w:t>Edwards, P. (</w:t>
      </w:r>
      <w:proofErr w:type="spellStart"/>
      <w:proofErr w:type="gramStart"/>
      <w:r w:rsidRPr="0006307B">
        <w:rPr>
          <w:rFonts w:asciiTheme="majorBidi" w:eastAsia="Calibri" w:hAnsiTheme="majorBidi" w:cstheme="majorBidi"/>
          <w:szCs w:val="28"/>
        </w:rPr>
        <w:t>ed</w:t>
      </w:r>
      <w:proofErr w:type="spellEnd"/>
      <w:proofErr w:type="gramEnd"/>
      <w:r w:rsidRPr="0006307B">
        <w:rPr>
          <w:rFonts w:asciiTheme="majorBidi" w:eastAsia="Calibri" w:hAnsiTheme="majorBidi" w:cstheme="majorBidi"/>
          <w:szCs w:val="28"/>
        </w:rPr>
        <w:t xml:space="preserve">) (1992) immortality, New York: </w:t>
      </w:r>
      <w:proofErr w:type="spellStart"/>
      <w:r w:rsidRPr="0006307B">
        <w:rPr>
          <w:rFonts w:asciiTheme="majorBidi" w:eastAsia="Calibri" w:hAnsiTheme="majorBidi" w:cstheme="majorBidi"/>
          <w:szCs w:val="28"/>
        </w:rPr>
        <w:t>Macmilan</w:t>
      </w:r>
      <w:proofErr w:type="spellEnd"/>
      <w:r w:rsidRPr="0006307B">
        <w:rPr>
          <w:rFonts w:asciiTheme="majorBidi" w:eastAsia="Calibri" w:hAnsiTheme="majorBidi" w:cstheme="majorBidi"/>
          <w:szCs w:val="28"/>
        </w:rPr>
        <w:t xml:space="preserve"> Publishing Company. (Anthology of thirty-four </w:t>
      </w:r>
      <w:proofErr w:type="spellStart"/>
      <w:r w:rsidRPr="0006307B">
        <w:rPr>
          <w:rFonts w:asciiTheme="majorBidi" w:eastAsia="Calibri" w:hAnsiTheme="majorBidi" w:cstheme="majorBidi"/>
          <w:szCs w:val="28"/>
        </w:rPr>
        <w:t>redings</w:t>
      </w:r>
      <w:proofErr w:type="spellEnd"/>
      <w:r w:rsidRPr="0006307B">
        <w:rPr>
          <w:rFonts w:asciiTheme="majorBidi" w:eastAsia="Calibri" w:hAnsiTheme="majorBidi" w:cstheme="majorBidi"/>
          <w:szCs w:val="28"/>
        </w:rPr>
        <w:t xml:space="preserve"> on immortality, including selections from Plato, </w:t>
      </w:r>
      <w:proofErr w:type="spellStart"/>
      <w:proofErr w:type="gramStart"/>
      <w:r w:rsidRPr="0006307B">
        <w:rPr>
          <w:rFonts w:asciiTheme="majorBidi" w:eastAsia="Calibri" w:hAnsiTheme="majorBidi" w:cstheme="majorBidi"/>
          <w:szCs w:val="28"/>
        </w:rPr>
        <w:t>lucretius</w:t>
      </w:r>
      <w:proofErr w:type="spellEnd"/>
      <w:proofErr w:type="gramEnd"/>
      <w:r w:rsidRPr="0006307B">
        <w:rPr>
          <w:rFonts w:asciiTheme="majorBidi" w:eastAsia="Calibri" w:hAnsiTheme="majorBidi" w:cstheme="majorBidi"/>
          <w:szCs w:val="28"/>
        </w:rPr>
        <w:t xml:space="preserve">, Aquinas, Descartes, Hume, Reid, Mill, Broad and other. Extensive, detailed annotated </w:t>
      </w:r>
      <w:proofErr w:type="spellStart"/>
      <w:r w:rsidRPr="0006307B">
        <w:rPr>
          <w:rFonts w:asciiTheme="majorBidi" w:eastAsia="Calibri" w:hAnsiTheme="majorBidi" w:cstheme="majorBidi"/>
          <w:szCs w:val="28"/>
        </w:rPr>
        <w:t>biblography</w:t>
      </w:r>
      <w:proofErr w:type="spellEnd"/>
      <w:r w:rsidRPr="0006307B">
        <w:rPr>
          <w:rFonts w:asciiTheme="majorBidi" w:eastAsia="Calibri" w:hAnsiTheme="majorBidi" w:cstheme="majorBidi"/>
          <w:szCs w:val="28"/>
        </w:rPr>
        <w:t>.)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28"/>
        </w:rPr>
      </w:pPr>
      <w:r w:rsidRPr="0006307B">
        <w:rPr>
          <w:rFonts w:asciiTheme="majorBidi" w:eastAsia="Calibri" w:hAnsiTheme="majorBidi" w:cstheme="majorBidi"/>
          <w:szCs w:val="28"/>
        </w:rPr>
        <w:t xml:space="preserve">Plato </w:t>
      </w:r>
      <w:proofErr w:type="spellStart"/>
      <w:r w:rsidRPr="0006307B">
        <w:rPr>
          <w:rFonts w:asciiTheme="majorBidi" w:eastAsia="Calibri" w:hAnsiTheme="majorBidi" w:cstheme="majorBidi"/>
          <w:szCs w:val="28"/>
        </w:rPr>
        <w:t>Phaedo</w:t>
      </w:r>
      <w:proofErr w:type="spellEnd"/>
      <w:r w:rsidRPr="0006307B">
        <w:rPr>
          <w:rFonts w:asciiTheme="majorBidi" w:eastAsia="Calibri" w:hAnsiTheme="majorBidi" w:cstheme="majorBidi"/>
          <w:szCs w:val="28"/>
        </w:rPr>
        <w:t xml:space="preserve">, trans. B. Jowett in The Dialogues </w:t>
      </w:r>
      <w:proofErr w:type="gramStart"/>
      <w:r w:rsidRPr="0006307B">
        <w:rPr>
          <w:rFonts w:asciiTheme="majorBidi" w:eastAsia="Calibri" w:hAnsiTheme="majorBidi" w:cstheme="majorBidi"/>
          <w:szCs w:val="28"/>
        </w:rPr>
        <w:t>of  Plato</w:t>
      </w:r>
      <w:proofErr w:type="gramEnd"/>
      <w:r w:rsidRPr="0006307B">
        <w:rPr>
          <w:rFonts w:asciiTheme="majorBidi" w:eastAsia="Calibri" w:hAnsiTheme="majorBidi" w:cstheme="majorBidi"/>
          <w:szCs w:val="28"/>
        </w:rPr>
        <w:t>, New York: Random House,1937.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28"/>
        </w:rPr>
      </w:pPr>
      <w:proofErr w:type="gramStart"/>
      <w:r w:rsidRPr="0006307B">
        <w:rPr>
          <w:rFonts w:asciiTheme="majorBidi" w:eastAsia="Calibri" w:hAnsiTheme="majorBidi" w:cstheme="majorBidi"/>
          <w:szCs w:val="28"/>
        </w:rPr>
        <w:t>Epicurus ,</w:t>
      </w:r>
      <w:proofErr w:type="gramEnd"/>
      <w:r w:rsidRPr="0006307B">
        <w:rPr>
          <w:rFonts w:asciiTheme="majorBidi" w:eastAsia="Calibri" w:hAnsiTheme="majorBidi" w:cstheme="majorBidi"/>
          <w:szCs w:val="28"/>
        </w:rPr>
        <w:t xml:space="preserve"> "Letter to </w:t>
      </w:r>
      <w:proofErr w:type="spellStart"/>
      <w:r w:rsidRPr="0006307B">
        <w:rPr>
          <w:rFonts w:asciiTheme="majorBidi" w:eastAsia="Calibri" w:hAnsiTheme="majorBidi" w:cstheme="majorBidi"/>
          <w:szCs w:val="28"/>
        </w:rPr>
        <w:t>Menoecceus</w:t>
      </w:r>
      <w:proofErr w:type="spellEnd"/>
      <w:r w:rsidRPr="0006307B">
        <w:rPr>
          <w:rFonts w:asciiTheme="majorBidi" w:eastAsia="Calibri" w:hAnsiTheme="majorBidi" w:cstheme="majorBidi"/>
          <w:szCs w:val="28"/>
        </w:rPr>
        <w:t xml:space="preserve">, trans". C. Bailey in W. J. Oates (ed.) </w:t>
      </w:r>
      <w:proofErr w:type="gramStart"/>
      <w:r w:rsidRPr="0006307B">
        <w:rPr>
          <w:rFonts w:asciiTheme="majorBidi" w:eastAsia="Calibri" w:hAnsiTheme="majorBidi" w:cstheme="majorBidi"/>
          <w:szCs w:val="28"/>
        </w:rPr>
        <w:t>The</w:t>
      </w:r>
      <w:proofErr w:type="gramEnd"/>
      <w:r w:rsidRPr="0006307B">
        <w:rPr>
          <w:rFonts w:asciiTheme="majorBidi" w:eastAsia="Calibri" w:hAnsiTheme="majorBidi" w:cstheme="majorBidi"/>
          <w:szCs w:val="28"/>
        </w:rPr>
        <w:t xml:space="preserve"> stoic and Epicurean Philosophers. New York: The Modern Library, 1940.</w:t>
      </w:r>
    </w:p>
    <w:p w:rsidR="004910C5" w:rsidRPr="0006307B" w:rsidRDefault="004910C5" w:rsidP="0006307B">
      <w:pPr>
        <w:pStyle w:val="ListParagraph"/>
        <w:widowControl w:val="0"/>
        <w:numPr>
          <w:ilvl w:val="0"/>
          <w:numId w:val="15"/>
        </w:numPr>
        <w:bidi w:val="0"/>
        <w:spacing w:line="276" w:lineRule="auto"/>
        <w:jc w:val="both"/>
        <w:rPr>
          <w:rFonts w:asciiTheme="majorBidi" w:eastAsia="Calibri" w:hAnsiTheme="majorBidi" w:cstheme="majorBidi"/>
          <w:szCs w:val="28"/>
        </w:rPr>
      </w:pPr>
      <w:r w:rsidRPr="0006307B">
        <w:rPr>
          <w:rFonts w:asciiTheme="majorBidi" w:eastAsia="Calibri" w:hAnsiTheme="majorBidi" w:cstheme="majorBidi"/>
          <w:szCs w:val="28"/>
        </w:rPr>
        <w:t>Edwards, P. (1967</w:t>
      </w:r>
      <w:proofErr w:type="gramStart"/>
      <w:r w:rsidRPr="0006307B">
        <w:rPr>
          <w:rFonts w:asciiTheme="majorBidi" w:eastAsia="Calibri" w:hAnsiTheme="majorBidi" w:cstheme="majorBidi"/>
          <w:szCs w:val="28"/>
        </w:rPr>
        <w:t>) ,</w:t>
      </w:r>
      <w:proofErr w:type="gramEnd"/>
      <w:r w:rsidRPr="0006307B">
        <w:rPr>
          <w:rFonts w:asciiTheme="majorBidi" w:eastAsia="Calibri" w:hAnsiTheme="majorBidi" w:cstheme="majorBidi"/>
          <w:szCs w:val="28"/>
        </w:rPr>
        <w:t xml:space="preserve"> "Life, meaning and Value of ", in P. Edwards (ed.) The Encyclopedia of Philosophy, New York and London: Macmillan Publishing Company &amp; The Free Press.</w:t>
      </w: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776E"/>
    <w:multiLevelType w:val="hybridMultilevel"/>
    <w:tmpl w:val="0ECC1CFE"/>
    <w:lvl w:ilvl="0" w:tplc="0409000D">
      <w:start w:val="1"/>
      <w:numFmt w:val="bullet"/>
      <w:lvlText w:val=""/>
      <w:lvlJc w:val="left"/>
      <w:pPr>
        <w:ind w:left="1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C71C5"/>
    <w:multiLevelType w:val="hybridMultilevel"/>
    <w:tmpl w:val="A880C36A"/>
    <w:lvl w:ilvl="0" w:tplc="0409000D">
      <w:start w:val="1"/>
      <w:numFmt w:val="bullet"/>
      <w:lvlText w:val=""/>
      <w:lvlJc w:val="left"/>
      <w:pPr>
        <w:ind w:left="17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718A7"/>
    <w:multiLevelType w:val="hybridMultilevel"/>
    <w:tmpl w:val="E0E8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C5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307B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910C5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2B70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2013-04-11T08:20:00Z</dcterms:created>
  <dcterms:modified xsi:type="dcterms:W3CDTF">2013-04-21T06:43:00Z</dcterms:modified>
</cp:coreProperties>
</file>