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5A" w:rsidRPr="00F10D5A" w:rsidRDefault="00F10D5A" w:rsidP="00F10D5A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F10D5A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F10D5A" w:rsidRPr="00F10D5A" w:rsidRDefault="00F10D5A" w:rsidP="00F10D5A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F10D5A" w:rsidRPr="00F10D5A" w:rsidTr="00F10D5A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F10D5A" w:rsidRPr="00EB5E37" w:rsidRDefault="00F10D5A" w:rsidP="00F10D5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EB5E37">
              <w:rPr>
                <w:rFonts w:ascii="Calibri" w:eastAsia="Calibri" w:hAnsi="Calibri" w:cs="B Titr" w:hint="cs"/>
                <w:sz w:val="24"/>
                <w:szCs w:val="24"/>
                <w:rtl/>
              </w:rPr>
              <w:t>وحی و قرآن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</w:t>
            </w:r>
          </w:p>
          <w:p w:rsidR="00F10D5A" w:rsidRPr="00EB5E37" w:rsidRDefault="00F10D5A" w:rsidP="00F10D5A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EB5E37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2 </w:t>
            </w:r>
            <w:r w:rsidRPr="00EB5E37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</w:p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F10D5A" w:rsidRPr="00EB5E37" w:rsidRDefault="00F10D5A" w:rsidP="00F10D5A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EB5E37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F10D5A" w:rsidRPr="00EB5E37" w:rsidRDefault="00EB5E37" w:rsidP="00EB5E37">
            <w:pPr>
              <w:ind w:left="0" w:firstLine="0"/>
              <w:rPr>
                <w:rFonts w:cs="B Titr"/>
                <w:sz w:val="18"/>
                <w:szCs w:val="24"/>
                <w:rtl/>
              </w:rPr>
            </w:pPr>
            <w:r>
              <w:rPr>
                <w:rFonts w:cs="B Titr" w:hint="cs"/>
                <w:sz w:val="18"/>
                <w:szCs w:val="24"/>
                <w:rtl/>
              </w:rPr>
              <w:t xml:space="preserve">ـ </w:t>
            </w:r>
            <w:r w:rsidR="00F10D5A" w:rsidRPr="00EB5E37">
              <w:rPr>
                <w:rFonts w:cs="B Titr" w:hint="eastAsia"/>
                <w:sz w:val="18"/>
                <w:szCs w:val="24"/>
                <w:rtl/>
              </w:rPr>
              <w:t>کلام</w:t>
            </w:r>
            <w:r w:rsidR="00F10D5A" w:rsidRPr="00EB5E37">
              <w:rPr>
                <w:rFonts w:cs="B Titr"/>
                <w:sz w:val="18"/>
                <w:szCs w:val="24"/>
                <w:rtl/>
              </w:rPr>
              <w:t xml:space="preserve"> </w:t>
            </w:r>
            <w:r w:rsidR="00F10D5A" w:rsidRPr="00EB5E37">
              <w:rPr>
                <w:rFonts w:cs="B Titr" w:hint="eastAsia"/>
                <w:sz w:val="18"/>
                <w:szCs w:val="24"/>
                <w:rtl/>
              </w:rPr>
              <w:t>اسلامي</w:t>
            </w:r>
            <w:r w:rsidR="00F10D5A" w:rsidRPr="00EB5E37">
              <w:rPr>
                <w:rFonts w:cs="B Titr"/>
                <w:sz w:val="18"/>
                <w:szCs w:val="24"/>
                <w:rtl/>
              </w:rPr>
              <w:t xml:space="preserve"> </w:t>
            </w:r>
          </w:p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EB5E37">
              <w:rPr>
                <w:rFonts w:cs="B Titr"/>
                <w:sz w:val="18"/>
                <w:szCs w:val="24"/>
                <w:rtl/>
              </w:rPr>
              <w:t xml:space="preserve"> </w:t>
            </w:r>
            <w:r w:rsidR="00EB5E37">
              <w:rPr>
                <w:rFonts w:cs="B Titr" w:hint="cs"/>
                <w:sz w:val="18"/>
                <w:szCs w:val="24"/>
                <w:rtl/>
              </w:rPr>
              <w:t xml:space="preserve">ـ </w:t>
            </w:r>
            <w:r w:rsidRPr="00EB5E37">
              <w:rPr>
                <w:rFonts w:cs="B Titr" w:hint="eastAsia"/>
                <w:sz w:val="18"/>
                <w:szCs w:val="24"/>
                <w:rtl/>
              </w:rPr>
              <w:t>معرفت</w:t>
            </w:r>
            <w:r w:rsidRPr="00EB5E37">
              <w:rPr>
                <w:rFonts w:cs="B Titr"/>
                <w:sz w:val="18"/>
                <w:szCs w:val="24"/>
                <w:rtl/>
              </w:rPr>
              <w:t xml:space="preserve"> </w:t>
            </w:r>
            <w:r w:rsidRPr="00EB5E37">
              <w:rPr>
                <w:rFonts w:cs="B Titr" w:hint="eastAsia"/>
                <w:sz w:val="18"/>
                <w:szCs w:val="24"/>
                <w:rtl/>
              </w:rPr>
              <w:t>شناسي</w:t>
            </w:r>
            <w:r w:rsidRPr="00EB5E37">
              <w:rPr>
                <w:rFonts w:cs="B Titr"/>
                <w:sz w:val="18"/>
                <w:szCs w:val="24"/>
                <w:rtl/>
              </w:rPr>
              <w:t xml:space="preserve"> </w:t>
            </w:r>
            <w:r w:rsidRPr="00EB5E37">
              <w:rPr>
                <w:rFonts w:cs="B Titr" w:hint="eastAsia"/>
                <w:sz w:val="18"/>
                <w:szCs w:val="24"/>
                <w:rtl/>
              </w:rPr>
              <w:t>ديني</w:t>
            </w:r>
          </w:p>
        </w:tc>
      </w:tr>
      <w:tr w:rsidR="00F10D5A" w:rsidRPr="00F10D5A" w:rsidTr="00F10D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0D5A" w:rsidRPr="00F10D5A" w:rsidTr="00F10D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0D5A" w:rsidRPr="00F10D5A" w:rsidTr="00F10D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0D5A" w:rsidRPr="00F10D5A" w:rsidTr="00F10D5A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10D5A" w:rsidRDefault="00F10D5A" w:rsidP="00F10D5A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A16F11" w:rsidRDefault="00A16F11" w:rsidP="00F10D5A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A16F11" w:rsidRPr="00F10D5A" w:rsidRDefault="00A16F11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A16F11">
              <w:rPr>
                <w:rFonts w:ascii="Arial" w:eastAsia="Times New Roman" w:hAnsi="Arial" w:cs="Arial"/>
                <w:color w:val="333333"/>
                <w:sz w:val="24"/>
                <w:szCs w:val="24"/>
                <w:lang w:val="en"/>
              </w:rPr>
              <w:t>Revelation of the Quran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0D5A" w:rsidRPr="00F10D5A" w:rsidTr="00F10D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0D5A" w:rsidRPr="00F10D5A" w:rsidTr="00F10D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0D5A" w:rsidRPr="00F10D5A" w:rsidTr="00F10D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10D5A" w:rsidRPr="00F10D5A" w:rsidTr="00F10D5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F10D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F10D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F10D5A" w:rsidRPr="00F10D5A" w:rsidRDefault="00F10D5A" w:rsidP="00F10D5A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F10D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F10D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F10D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10D5A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F10D5A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F10D5A" w:rsidRPr="00F10D5A" w:rsidRDefault="00F10D5A" w:rsidP="00F10D5A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10D5A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تبيين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چيستي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و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ابعاد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و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اقسام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وحي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از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ديدگاه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قرآن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و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پاسخ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به</w:t>
      </w:r>
      <w:r w:rsidRPr="00EB5E37">
        <w:rPr>
          <w:rFonts w:cs="B Titr"/>
          <w:sz w:val="24"/>
          <w:szCs w:val="24"/>
          <w:rtl/>
        </w:rPr>
        <w:t xml:space="preserve"> </w:t>
      </w:r>
      <w:r w:rsidRPr="00EB5E37">
        <w:rPr>
          <w:rFonts w:cs="B Titr" w:hint="eastAsia"/>
          <w:sz w:val="24"/>
          <w:szCs w:val="24"/>
          <w:rtl/>
        </w:rPr>
        <w:t>شبهات</w:t>
      </w: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10D5A" w:rsidRDefault="00F10D5A" w:rsidP="00F10D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10D5A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F10D5A" w:rsidRPr="00F10D5A" w:rsidRDefault="00F10D5A" w:rsidP="00F10D5A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مفهوم شناسی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وحی و الهام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امکان وحی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ضرورت وحی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فاعل و قابل و وحی</w:t>
      </w:r>
    </w:p>
    <w:p w:rsidR="00F10D5A" w:rsidRPr="00F10D5A" w:rsidRDefault="00F10D5A" w:rsidP="00F10D5A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چيستي و چگونگي وحي (وحي زباني و بصري و نقش پيامبر در فرآيند وحي)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 فلسفي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 عرفاني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 تجربي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ديدگاههاي کلامي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 قرآني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 xml:space="preserve">نقد تطبيقي ديدگاهها و اثبات ديدگاه قرآني  </w:t>
      </w:r>
    </w:p>
    <w:p w:rsidR="00F10D5A" w:rsidRPr="00F10D5A" w:rsidRDefault="00F10D5A" w:rsidP="00F10D5A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اقسام و مراتب وحي</w:t>
      </w:r>
    </w:p>
    <w:p w:rsidR="00F10D5A" w:rsidRPr="00F10D5A" w:rsidRDefault="00F10D5A" w:rsidP="00F10D5A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تفاوت ميان وحي، الهام، تحدیث و شهود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 xml:space="preserve">ديدگاه فلسفي 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 عرفاني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 قرآني و روايي</w:t>
      </w:r>
    </w:p>
    <w:p w:rsidR="00F10D5A" w:rsidRPr="00F10D5A" w:rsidRDefault="00F10D5A" w:rsidP="00F10D5A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نحوة نزول قرآن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 اندیشمندان(صدرالمتألهین، علامه طباطبایی، آیت‌الله معرفت و...)</w:t>
      </w:r>
    </w:p>
    <w:p w:rsidR="00F10D5A" w:rsidRPr="00F10D5A" w:rsidRDefault="00F10D5A" w:rsidP="00F10D5A">
      <w:pPr>
        <w:numPr>
          <w:ilvl w:val="0"/>
          <w:numId w:val="9"/>
        </w:numPr>
        <w:rPr>
          <w:rFonts w:ascii="Calibri" w:eastAsia="Calibri" w:hAnsi="Calibri" w:cs="Arial"/>
          <w:sz w:val="26"/>
          <w:szCs w:val="26"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ديدگاه قرآني و روايي</w:t>
      </w:r>
    </w:p>
    <w:p w:rsidR="00F10D5A" w:rsidRPr="00F10D5A" w:rsidRDefault="00F10D5A" w:rsidP="00F10D5A">
      <w:pPr>
        <w:numPr>
          <w:ilvl w:val="0"/>
          <w:numId w:val="11"/>
        </w:numPr>
        <w:rPr>
          <w:rFonts w:ascii="Calibri" w:eastAsia="Calibri" w:hAnsi="Calibri" w:cs="Arial"/>
          <w:sz w:val="26"/>
          <w:szCs w:val="26"/>
          <w:rtl/>
        </w:rPr>
      </w:pPr>
      <w:r w:rsidRPr="00F10D5A">
        <w:rPr>
          <w:rFonts w:ascii="Calibri" w:eastAsia="Calibri" w:hAnsi="Calibri" w:cs="Arial" w:hint="cs"/>
          <w:sz w:val="26"/>
          <w:szCs w:val="26"/>
          <w:rtl/>
        </w:rPr>
        <w:t>نقد مهمترین شبهات مستشرقان به قرآن</w:t>
      </w: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10D5A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F10D5A" w:rsidRPr="00F10D5A" w:rsidTr="00F10D5A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10D5A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10D5A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10D5A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10D5A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F10D5A" w:rsidRPr="00F10D5A" w:rsidTr="00F10D5A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A" w:rsidRPr="00F10D5A" w:rsidRDefault="00F10D5A" w:rsidP="00F10D5A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F10D5A" w:rsidRPr="00F10D5A" w:rsidRDefault="00F10D5A" w:rsidP="00F10D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10D5A" w:rsidRDefault="00F10D5A" w:rsidP="00F10D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10D5A">
        <w:rPr>
          <w:rFonts w:ascii="Calibri" w:eastAsia="Calibri" w:hAnsi="Calibri" w:cs="Arial"/>
          <w:b/>
          <w:bCs/>
          <w:sz w:val="26"/>
          <w:szCs w:val="26"/>
          <w:rtl/>
        </w:rPr>
        <w:lastRenderedPageBreak/>
        <w:t>منابع:</w:t>
      </w:r>
    </w:p>
    <w:p w:rsidR="00F10D5A" w:rsidRPr="00F10D5A" w:rsidRDefault="00F10D5A" w:rsidP="00F10D5A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bookmarkStart w:id="1" w:name="OLE_LINK11"/>
      <w:bookmarkStart w:id="2" w:name="OLE_LINK10"/>
      <w:r w:rsidRPr="00EB5E37">
        <w:rPr>
          <w:rFonts w:ascii="Calibri" w:eastAsia="Calibri" w:hAnsi="Calibri" w:cs="Lotus Mazar" w:hint="cs"/>
          <w:sz w:val="28"/>
          <w:szCs w:val="28"/>
          <w:rtl/>
        </w:rPr>
        <w:t xml:space="preserve">المبدء والمعاد، ابن سينا. 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وحي و نبوت، عبدالله</w:t>
      </w:r>
      <w:r w:rsidRPr="00EB5E37">
        <w:rPr>
          <w:rFonts w:ascii="Calibri" w:eastAsia="Calibri" w:hAnsi="Calibri" w:cs="Lotus Mazar"/>
          <w:sz w:val="28"/>
          <w:szCs w:val="28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جوادي آملي.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 xml:space="preserve">«تبيين وحي»، مجلّه کلام اسلامي، ش 26، سال هفتم، جعفرسبحاني.  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 xml:space="preserve">مجموعه مصنفات، شيخ شهاب الدين سهروردی. 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تفسير القرآن الکريم، ملاصدرا.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EB5E37">
        <w:rPr>
          <w:rFonts w:ascii="Calibri" w:eastAsia="Calibri" w:hAnsi="Calibri" w:cs="Lotus Mazar" w:hint="cs"/>
          <w:color w:val="000000"/>
          <w:sz w:val="28"/>
          <w:szCs w:val="28"/>
          <w:rtl/>
          <w:lang w:bidi="ar-SA"/>
        </w:rPr>
        <w:t>الحکمة المتعالية في الاسفار العقلية الاربعة،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ملاصدرا.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شرح اصول کافي، ج 2،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 xml:space="preserve">ملاصدرا. 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شرح الهداية الاثيرية،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ملاصدرا.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الشواهد الربوبيه في المناهج السلوکيه با تعليق سيد جلال الدين آشتياني، ملاصدرا.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پژوهش‌هايي دربارة قرآن و وحي،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صبحي صالح،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ترجمه محمد مجتهد شبستري.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الميزان، محمد حسين طباطبايي.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تاريخ فلسفه در جهان اسلامي، حنا الفاخوري و خليل جر، ترجمة عبد‌المحمد آيتي.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آراء اهل</w:t>
      </w:r>
      <w:r w:rsidRPr="00EB5E37">
        <w:rPr>
          <w:rFonts w:ascii="Calibri" w:eastAsia="Calibri" w:hAnsi="Calibri" w:cs="Lotus Mazar" w:hint="cs"/>
          <w:sz w:val="28"/>
          <w:szCs w:val="28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المدينة الفاضله، ابو نصر فارابي.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السياسة المدنيه، ابو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نصر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فارابي</w:t>
      </w:r>
      <w:r w:rsidRPr="00EB5E37">
        <w:rPr>
          <w:rFonts w:ascii="Calibri" w:eastAsia="Calibri" w:hAnsi="Calibri" w:cs="Lotus Mazar"/>
          <w:sz w:val="28"/>
          <w:szCs w:val="28"/>
          <w:rtl/>
        </w:rPr>
        <w:t>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فصوص الحکم، ابو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نصر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فارابي</w:t>
      </w:r>
      <w:r w:rsidRPr="00EB5E37">
        <w:rPr>
          <w:rFonts w:ascii="Calibri" w:eastAsia="Calibri" w:hAnsi="Calibri" w:cs="Lotus Mazar"/>
          <w:sz w:val="28"/>
          <w:szCs w:val="28"/>
          <w:rtl/>
        </w:rPr>
        <w:t>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اصول الکافي،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محمد</w:t>
      </w:r>
      <w:r w:rsidRPr="00EB5E37">
        <w:rPr>
          <w:rFonts w:ascii="Calibri" w:eastAsia="Calibri" w:hAnsi="Calibri" w:cs="Lotus Mazar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>بن</w:t>
      </w:r>
      <w:r w:rsidRPr="00EB5E37">
        <w:rPr>
          <w:rFonts w:ascii="Calibri" w:eastAsia="Calibri" w:hAnsi="Calibri" w:cs="Lotus Mazar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>يعقوب</w:t>
      </w:r>
      <w:r w:rsid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کليني. 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مجموعه آثار، ج 4، مرتضي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مطهري.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تبيين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فلسفي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وحي، موسي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ملايري.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بسط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تجربه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نبوي،</w:t>
      </w:r>
      <w:r w:rsidRPr="00EB5E37">
        <w:rPr>
          <w:rFonts w:ascii="Calibri" w:eastAsia="Calibri" w:hAnsi="Calibri" w:cs="Lotus Mazar" w:hint="cs"/>
          <w:sz w:val="28"/>
          <w:szCs w:val="28"/>
          <w:rtl/>
          <w:lang w:bidi="ar-SA"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عبدالکريم</w:t>
      </w:r>
      <w:r w:rsidRPr="00EB5E37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EB5E37">
        <w:rPr>
          <w:rFonts w:ascii="Calibri" w:eastAsia="Calibri" w:hAnsi="Calibri" w:cs="Lotus Mazar" w:hint="cs"/>
          <w:sz w:val="28"/>
          <w:szCs w:val="28"/>
          <w:rtl/>
        </w:rPr>
        <w:t>سروش.</w:t>
      </w:r>
    </w:p>
    <w:p w:rsidR="00F10D5A" w:rsidRPr="00EB5E37" w:rsidRDefault="00F10D5A" w:rsidP="00EB5E3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EB5E37">
        <w:rPr>
          <w:rFonts w:ascii="Calibri" w:eastAsia="Calibri" w:hAnsi="Calibri" w:cs="Lotus Mazar" w:hint="cs"/>
          <w:sz w:val="28"/>
          <w:szCs w:val="28"/>
          <w:rtl/>
        </w:rPr>
        <w:t>قبسات ، شماره هاي 47 و 48.</w:t>
      </w:r>
      <w:bookmarkEnd w:id="1"/>
      <w:bookmarkEnd w:id="2"/>
    </w:p>
    <w:p w:rsidR="00F10D5A" w:rsidRPr="00F10D5A" w:rsidRDefault="00F10D5A" w:rsidP="00F10D5A">
      <w:pPr>
        <w:widowControl w:val="0"/>
        <w:ind w:left="159" w:firstLine="0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F10D5A" w:rsidRPr="00F10D5A" w:rsidRDefault="00F10D5A" w:rsidP="00F10D5A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547"/>
    <w:multiLevelType w:val="hybridMultilevel"/>
    <w:tmpl w:val="E0F8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A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16F11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5E37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D5A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2013-04-11T08:13:00Z</dcterms:created>
  <dcterms:modified xsi:type="dcterms:W3CDTF">2013-04-21T06:25:00Z</dcterms:modified>
</cp:coreProperties>
</file>